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jc w:val="left"/>
        <w:textAlignment w:val="auto"/>
        <w:outlineLvl w:val="0"/>
        <w:rPr>
          <w:rStyle w:val="6"/>
          <w:rFonts w:hint="default" w:ascii="Times New Roman" w:hAnsi="Times New Roman" w:eastAsia="方正小标宋_GBK" w:cs="Times New Roman"/>
          <w:b w:val="0"/>
          <w:bCs w:val="0"/>
          <w:color w:val="auto"/>
          <w:sz w:val="44"/>
          <w:szCs w:val="44"/>
          <w:lang w:val="en-US" w:eastAsia="zh-CN"/>
        </w:rPr>
      </w:pPr>
      <w:r>
        <w:rPr>
          <w:rStyle w:val="6"/>
          <w:rFonts w:hint="eastAsia" w:eastAsia="方正小标宋_GBK" w:cs="Times New Roman"/>
          <w:b w:val="0"/>
          <w:bCs w:val="0"/>
          <w:color w:val="auto"/>
          <w:sz w:val="44"/>
          <w:szCs w:val="44"/>
          <w:lang w:val="en-US" w:eastAsia="zh-CN"/>
        </w:rPr>
        <w:t>附件3</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jc w:val="center"/>
        <w:textAlignment w:val="auto"/>
        <w:outlineLvl w:val="0"/>
        <w:rPr>
          <w:rStyle w:val="6"/>
          <w:rFonts w:hint="default" w:ascii="Times New Roman" w:hAnsi="Times New Roman" w:eastAsia="方正小标宋_GBK" w:cs="Times New Roman"/>
          <w:b w:val="0"/>
          <w:bCs w:val="0"/>
          <w:color w:val="auto"/>
          <w:sz w:val="44"/>
          <w:szCs w:val="44"/>
        </w:rPr>
      </w:pPr>
      <w:r>
        <w:rPr>
          <w:rStyle w:val="6"/>
          <w:rFonts w:hint="default" w:ascii="Times New Roman" w:hAnsi="Times New Roman" w:eastAsia="方正小标宋_GBK" w:cs="Times New Roman"/>
          <w:b w:val="0"/>
          <w:bCs w:val="0"/>
          <w:color w:val="auto"/>
          <w:sz w:val="44"/>
          <w:szCs w:val="44"/>
          <w:lang w:val="en-US" w:eastAsia="zh-CN"/>
        </w:rPr>
        <w:t>优先保护单元、一般</w:t>
      </w:r>
      <w:r>
        <w:rPr>
          <w:rStyle w:val="6"/>
          <w:rFonts w:hint="default" w:ascii="Times New Roman" w:hAnsi="Times New Roman" w:eastAsia="方正小标宋_GBK" w:cs="Times New Roman"/>
          <w:b w:val="0"/>
          <w:bCs w:val="0"/>
          <w:color w:val="auto"/>
          <w:sz w:val="44"/>
          <w:szCs w:val="44"/>
        </w:rPr>
        <w:t>管控单元生态环境准入清单</w:t>
      </w:r>
      <w:bookmarkStart w:id="0" w:name="_GoBack"/>
      <w:bookmarkEnd w:id="0"/>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jc w:val="center"/>
        <w:textAlignment w:val="auto"/>
        <w:outlineLvl w:val="0"/>
        <w:rPr>
          <w:rStyle w:val="6"/>
          <w:rFonts w:hint="default" w:ascii="Times New Roman" w:hAnsi="Times New Roman" w:eastAsia="方正小标宋_GBK" w:cs="Times New Roman"/>
          <w:b w:val="0"/>
          <w:bCs w:val="0"/>
          <w:color w:val="auto"/>
          <w:sz w:val="44"/>
          <w:szCs w:val="44"/>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57" w:type="dxa"/>
          <w:bottom w:w="15" w:type="dxa"/>
          <w:right w:w="57" w:type="dxa"/>
        </w:tblCellMar>
      </w:tblPr>
      <w:tblGrid>
        <w:gridCol w:w="974"/>
        <w:gridCol w:w="1612"/>
        <w:gridCol w:w="7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795" w:hRule="atLeast"/>
          <w:tblHeader/>
          <w:jc w:val="center"/>
        </w:trPr>
        <w:tc>
          <w:tcPr>
            <w:tcW w:w="974"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黑体_GBK" w:cs="Times New Roman"/>
                <w:b w:val="0"/>
                <w:bCs/>
                <w:color w:val="auto"/>
                <w:kern w:val="0"/>
                <w:sz w:val="24"/>
                <w:szCs w:val="24"/>
                <w:lang w:val="en-US" w:eastAsia="zh-CN"/>
              </w:rPr>
            </w:pPr>
            <w:r>
              <w:rPr>
                <w:rFonts w:hint="default" w:ascii="Times New Roman" w:hAnsi="Times New Roman" w:eastAsia="方正黑体_GBK" w:cs="Times New Roman"/>
                <w:b w:val="0"/>
                <w:bCs/>
                <w:color w:val="auto"/>
                <w:kern w:val="0"/>
                <w:sz w:val="24"/>
                <w:szCs w:val="24"/>
                <w:lang w:val="en-US" w:eastAsia="zh-CN"/>
              </w:rPr>
              <w:t>县市</w:t>
            </w:r>
          </w:p>
        </w:tc>
        <w:tc>
          <w:tcPr>
            <w:tcW w:w="161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黑体_GBK" w:cs="Times New Roman"/>
                <w:b w:val="0"/>
                <w:bCs/>
                <w:color w:val="auto"/>
                <w:kern w:val="0"/>
                <w:sz w:val="24"/>
                <w:szCs w:val="24"/>
              </w:rPr>
            </w:pPr>
            <w:r>
              <w:rPr>
                <w:rFonts w:hint="default" w:ascii="Times New Roman" w:hAnsi="Times New Roman" w:eastAsia="方正黑体_GBK" w:cs="Times New Roman"/>
                <w:b w:val="0"/>
                <w:bCs/>
                <w:color w:val="auto"/>
                <w:kern w:val="0"/>
                <w:sz w:val="24"/>
                <w:szCs w:val="24"/>
              </w:rPr>
              <w:t>单元名称</w:t>
            </w:r>
          </w:p>
        </w:tc>
        <w:tc>
          <w:tcPr>
            <w:tcW w:w="717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黑体_GBK" w:cs="Times New Roman"/>
                <w:b w:val="0"/>
                <w:bCs/>
                <w:color w:val="auto"/>
                <w:kern w:val="0"/>
                <w:sz w:val="24"/>
                <w:szCs w:val="24"/>
              </w:rPr>
            </w:pPr>
            <w:r>
              <w:rPr>
                <w:rFonts w:hint="default" w:ascii="Times New Roman" w:hAnsi="Times New Roman" w:eastAsia="方正黑体_GBK" w:cs="Times New Roman"/>
                <w:b w:val="0"/>
                <w:bCs/>
                <w:color w:val="auto"/>
                <w:kern w:val="0"/>
                <w:sz w:val="24"/>
                <w:szCs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1807" w:hRule="atLeast"/>
          <w:jc w:val="center"/>
        </w:trPr>
        <w:tc>
          <w:tcPr>
            <w:tcW w:w="974"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各县市优先保护单元</w:t>
            </w:r>
          </w:p>
        </w:tc>
        <w:tc>
          <w:tcPr>
            <w:tcW w:w="161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生态保护红线优先保护单元</w:t>
            </w:r>
          </w:p>
        </w:tc>
        <w:tc>
          <w:tcPr>
            <w:tcW w:w="717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1.生态保护红线内，自然保护地核心保护区原则上禁止人为活动，其他区域严格禁止开发性生产性建设活动，法律法规另有规定的，从其规定。</w:t>
            </w:r>
          </w:p>
          <w:p>
            <w:pPr>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lang w:val="en-US" w:eastAsia="zh-CN"/>
              </w:rPr>
              <w:t>2.</w:t>
            </w:r>
            <w:r>
              <w:rPr>
                <w:rFonts w:hint="default" w:ascii="Times New Roman" w:hAnsi="Times New Roman" w:eastAsia="方正仿宋_GBK" w:cs="Times New Roman"/>
                <w:color w:val="auto"/>
                <w:kern w:val="0"/>
                <w:sz w:val="24"/>
                <w:szCs w:val="24"/>
              </w:rPr>
              <w:t>生态保护红线相关管控办法出台后，依据其管理规定执行。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5253" w:hRule="atLeast"/>
          <w:jc w:val="center"/>
        </w:trPr>
        <w:tc>
          <w:tcPr>
            <w:tcW w:w="974"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4"/>
                <w:szCs w:val="24"/>
                <w:u w:val="none"/>
                <w:lang w:val="en-US" w:eastAsia="zh-CN" w:bidi="ar"/>
              </w:rPr>
            </w:pPr>
          </w:p>
        </w:tc>
        <w:tc>
          <w:tcPr>
            <w:tcW w:w="161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一般生态空间优先保护单元</w:t>
            </w:r>
          </w:p>
        </w:tc>
        <w:tc>
          <w:tcPr>
            <w:tcW w:w="7178"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firstLine="480" w:firstLineChars="200"/>
              <w:jc w:val="left"/>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lang w:val="en-US" w:eastAsia="zh-CN"/>
              </w:rPr>
              <w:t>1.</w:t>
            </w:r>
            <w:r>
              <w:rPr>
                <w:rFonts w:hint="default" w:ascii="Times New Roman" w:hAnsi="Times New Roman" w:eastAsia="方正仿宋_GBK" w:cs="Times New Roman"/>
                <w:color w:val="auto"/>
                <w:kern w:val="0"/>
                <w:sz w:val="24"/>
                <w:szCs w:val="24"/>
              </w:rPr>
              <w:t>执行</w:t>
            </w:r>
            <w:r>
              <w:rPr>
                <w:rFonts w:hint="default" w:ascii="Times New Roman" w:hAnsi="Times New Roman" w:eastAsia="方正仿宋_GBK" w:cs="Times New Roman"/>
                <w:color w:val="auto"/>
                <w:kern w:val="0"/>
                <w:sz w:val="24"/>
                <w:szCs w:val="24"/>
                <w:lang w:eastAsia="zh-CN"/>
              </w:rPr>
              <w:t>《云南省人民政府关于实施</w:t>
            </w:r>
            <w:r>
              <w:rPr>
                <w:rFonts w:hint="eastAsia" w:ascii="Times New Roman" w:hAnsi="Times New Roman" w:eastAsia="方正仿宋_GBK" w:cs="Times New Roman"/>
                <w:color w:val="auto"/>
                <w:kern w:val="0"/>
                <w:sz w:val="24"/>
                <w:szCs w:val="24"/>
                <w:lang w:eastAsia="zh-CN"/>
              </w:rPr>
              <w:t>“</w:t>
            </w:r>
            <w:r>
              <w:rPr>
                <w:rFonts w:hint="default" w:ascii="Times New Roman" w:hAnsi="Times New Roman" w:eastAsia="方正仿宋_GBK" w:cs="Times New Roman"/>
                <w:color w:val="auto"/>
                <w:kern w:val="0"/>
                <w:sz w:val="24"/>
                <w:szCs w:val="24"/>
                <w:lang w:eastAsia="zh-CN"/>
              </w:rPr>
              <w:t>三线一单</w:t>
            </w:r>
            <w:r>
              <w:rPr>
                <w:rFonts w:hint="eastAsia" w:ascii="Times New Roman" w:hAnsi="Times New Roman" w:eastAsia="方正仿宋_GBK" w:cs="Times New Roman"/>
                <w:color w:val="auto"/>
                <w:kern w:val="0"/>
                <w:sz w:val="24"/>
                <w:szCs w:val="24"/>
                <w:lang w:eastAsia="zh-CN"/>
              </w:rPr>
              <w:t>”</w:t>
            </w:r>
            <w:r>
              <w:rPr>
                <w:rFonts w:hint="default" w:ascii="Times New Roman" w:hAnsi="Times New Roman" w:eastAsia="方正仿宋_GBK" w:cs="Times New Roman"/>
                <w:color w:val="auto"/>
                <w:kern w:val="0"/>
                <w:sz w:val="24"/>
                <w:szCs w:val="24"/>
                <w:lang w:eastAsia="zh-CN"/>
              </w:rPr>
              <w:t>生态环境分区管控的意见》</w:t>
            </w:r>
            <w:r>
              <w:rPr>
                <w:rFonts w:hint="default" w:ascii="Times New Roman" w:hAnsi="Times New Roman" w:eastAsia="方正仿宋_GBK" w:cs="Times New Roman"/>
                <w:color w:val="auto"/>
                <w:kern w:val="0"/>
                <w:sz w:val="24"/>
                <w:szCs w:val="24"/>
              </w:rPr>
              <w:t>。原则上按照限制开发区域的要求进行管理，严格限制大规模开发建设活动。以保护和修复生态环境、提供生态产品为首要任务，因地制宜地发展不影响主体功能定位的产业。</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firstLine="480" w:firstLineChars="200"/>
              <w:jc w:val="left"/>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2.未纳入生态保护红线的各类自然保护地按照相关法律法规规定进行管控；重要湿地依据《湿地保护管理规定》《国务院办公厅关于印发湿地保护修复制度方案的通知》《云南省湿地保护条例》《云南省人民政府关于加强湿地保护工作的意见》等进行管理；生态公益林依据《国家级公益林管理办法》《云南省地方公益林管理办法》进行管理；天然林依据《国家林业局关于严格保护天然林的通知》（林资发〔2015〕181号）《天然林保护修复制度方案》的通知（厅字〔2019〕39号）等进行管理；基本草原依据《中华人民共和国草原法》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1098" w:hRule="atLeast"/>
          <w:jc w:val="center"/>
        </w:trPr>
        <w:tc>
          <w:tcPr>
            <w:tcW w:w="974"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4"/>
                <w:szCs w:val="24"/>
                <w:u w:val="none"/>
                <w:lang w:val="en-US" w:eastAsia="zh-CN" w:bidi="ar"/>
              </w:rPr>
            </w:pPr>
          </w:p>
        </w:tc>
        <w:tc>
          <w:tcPr>
            <w:tcW w:w="161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饮用水水源地优先保护单元</w:t>
            </w:r>
          </w:p>
        </w:tc>
        <w:tc>
          <w:tcPr>
            <w:tcW w:w="717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lang w:val="en-US" w:eastAsia="zh-CN"/>
              </w:rPr>
              <w:t>依据</w:t>
            </w:r>
            <w:r>
              <w:rPr>
                <w:rFonts w:hint="default" w:ascii="Times New Roman" w:hAnsi="Times New Roman" w:eastAsia="方正仿宋_GBK" w:cs="Times New Roman"/>
                <w:color w:val="auto"/>
                <w:kern w:val="0"/>
                <w:sz w:val="24"/>
                <w:szCs w:val="24"/>
              </w:rPr>
              <w:t>《中华人民共和国水污染防治法》《饮用水水源保护区污染防治管理规定》</w:t>
            </w:r>
            <w:r>
              <w:rPr>
                <w:rFonts w:hint="default" w:ascii="Times New Roman" w:hAnsi="Times New Roman" w:eastAsia="方正仿宋_GBK" w:cs="Times New Roman"/>
                <w:color w:val="auto"/>
                <w:kern w:val="0"/>
                <w:sz w:val="24"/>
                <w:szCs w:val="24"/>
                <w:lang w:val="en-US" w:eastAsia="zh-CN"/>
              </w:rPr>
              <w:t>进行管理</w:t>
            </w:r>
            <w:r>
              <w:rPr>
                <w:rFonts w:hint="default" w:ascii="Times New Roman" w:hAnsi="Times New Roman" w:eastAsia="方正仿宋_GBK" w:cs="Times New Roman"/>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1511" w:hRule="atLeast"/>
          <w:jc w:val="center"/>
        </w:trPr>
        <w:tc>
          <w:tcPr>
            <w:tcW w:w="974"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各县市一般管控单元</w:t>
            </w:r>
          </w:p>
        </w:tc>
        <w:tc>
          <w:tcPr>
            <w:tcW w:w="161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color w:val="auto"/>
                <w:kern w:val="0"/>
                <w:sz w:val="24"/>
                <w:szCs w:val="24"/>
              </w:rPr>
              <w:t>空间布局约束</w:t>
            </w:r>
          </w:p>
        </w:tc>
        <w:tc>
          <w:tcPr>
            <w:tcW w:w="717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both"/>
              <w:rPr>
                <w:rFonts w:hint="default" w:ascii="Times New Roman" w:hAnsi="Times New Roman" w:eastAsia="方正仿宋_GBK" w:cs="Times New Roman"/>
                <w:color w:val="auto"/>
                <w:kern w:val="0"/>
                <w:sz w:val="24"/>
                <w:szCs w:val="24"/>
                <w:lang w:eastAsia="zh-CN"/>
              </w:rPr>
            </w:pPr>
            <w:r>
              <w:rPr>
                <w:rFonts w:hint="default" w:ascii="Times New Roman" w:hAnsi="Times New Roman" w:eastAsia="方正仿宋_GBK" w:cs="Times New Roman"/>
                <w:color w:val="auto"/>
                <w:kern w:val="0"/>
                <w:sz w:val="24"/>
                <w:szCs w:val="24"/>
              </w:rPr>
              <w:t>落实生态环境保护基本要求，项目建设和运行应满足产业准入、总量控制、排放标准等管理规定</w:t>
            </w:r>
            <w:r>
              <w:rPr>
                <w:rFonts w:hint="default" w:ascii="Times New Roman" w:hAnsi="Times New Roman" w:eastAsia="方正仿宋_GBK" w:cs="Times New Roman"/>
                <w:color w:val="auto"/>
                <w:kern w:val="0"/>
                <w:sz w:val="24"/>
                <w:szCs w:val="24"/>
                <w:lang w:eastAsia="zh-CN"/>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9D1C68"/>
    <w:rsid w:val="499D1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22"/>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2021-08-19T07:40:00Z</dcterms:created>
  <dc:creator>小1</dc:creator>
  <cp:lastModifiedBy>小1</cp:lastModifiedBy>
  <dcterms:modified xsi:type="dcterms:W3CDTF">2021-08-19T07:41:08Z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3EE8F5D051AB483882AE8496E26061DA</vt:lpwstr>
  </property>
</Properties>
</file>